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8F5A638">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Job Title:</w:t>
      </w:r>
      <w:r>
        <w:rPr>
          <w:rFonts w:ascii="Arial" w:hAnsi="Arial" w:eastAsia="Arial" w:cs="Arial"/>
          <w:color w:val="242424"/>
          <w:sz w:val="23"/>
        </w:rPr>
        <w:t xml:space="preserve"> Water and Sewer Assistant Manager  </w:t>
      </w:r>
      <w:r/>
    </w:p>
    <w:p w14:paraId="55B77D41">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Department:</w:t>
      </w:r>
      <w:r>
        <w:rPr>
          <w:rFonts w:ascii="Arial" w:hAnsi="Arial" w:eastAsia="Arial" w:cs="Arial"/>
          <w:color w:val="242424"/>
          <w:sz w:val="23"/>
        </w:rPr>
        <w:t xml:space="preserve"> Public Works / Utilities  </w:t>
      </w:r>
      <w:r/>
    </w:p>
    <w:p w14:paraId="7B438C2C">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Reports To:</w:t>
      </w:r>
      <w:r>
        <w:rPr>
          <w:rFonts w:ascii="Arial" w:hAnsi="Arial" w:eastAsia="Arial" w:cs="Arial"/>
          <w:color w:val="242424"/>
          <w:sz w:val="23"/>
        </w:rPr>
        <w:t xml:space="preserve"> Water and Sewer Manager  </w:t>
      </w:r>
      <w:r/>
    </w:p>
    <w:p w14:paraId="7A517CA9">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FLSA Status:</w:t>
      </w:r>
      <w:r>
        <w:rPr>
          <w:rFonts w:ascii="Arial" w:hAnsi="Arial" w:eastAsia="Arial" w:cs="Arial"/>
          <w:color w:val="242424"/>
          <w:sz w:val="23"/>
        </w:rPr>
        <w:t xml:space="preserve"> Exempt / Full-Time</w:t>
      </w:r>
      <w:r/>
    </w:p>
    <w:p w14:paraId="36DB686F">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297DFECB">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Position Summary:</w:t>
      </w:r>
      <w:r>
        <w:rPr>
          <w:rFonts w:ascii="Arial" w:hAnsi="Arial" w:eastAsia="Arial" w:cs="Arial"/>
          <w:color w:val="242424"/>
          <w:sz w:val="23"/>
        </w:rPr>
        <w:t xml:space="preserve">  </w:t>
      </w:r>
      <w:r/>
    </w:p>
    <w:p w14:paraId="7807A5CF">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color w:val="242424"/>
          <w:sz w:val="23"/>
        </w:rPr>
        <w:t xml:space="preserve">The Water and Sewer Assistant Manager supports the daily operations, maintenance, and administration of the district’s water distribution and wastewater collection systems. This role assists in supervising staff, ensuring regulatory compliance, coordinatin</w:t>
      </w:r>
      <w:r>
        <w:rPr>
          <w:rFonts w:ascii="Arial" w:hAnsi="Arial" w:eastAsia="Arial" w:cs="Arial"/>
          <w:color w:val="242424"/>
          <w:sz w:val="23"/>
        </w:rPr>
        <w:t xml:space="preserve">g projects, and maintaining reliable and safe utility services for the community.</w:t>
      </w:r>
      <w:r/>
    </w:p>
    <w:p w14:paraId="43351E24">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3C81840F">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Key Responsibilities:</w:t>
      </w:r>
      <w:r/>
    </w:p>
    <w:p w14:paraId="66522D33">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Assist the Water and Sewer Manager with planning, organizing, and overseeing water and sewer system operations.</w:t>
      </w:r>
      <w:r/>
    </w:p>
    <w:p w14:paraId="6C7A13F4">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Supervise and schedule utility staff in the installation, repair, and maintenance of water and wastewater infrastructure.</w:t>
      </w:r>
      <w:r/>
    </w:p>
    <w:p w14:paraId="04117C30">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Monitor system performance, respond to service requests, and troubleshoot operational issues.</w:t>
      </w:r>
      <w:r/>
    </w:p>
    <w:p w14:paraId="5E811C6D">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Ensure compliance with federal, state, and local environmental and safety regulations.</w:t>
      </w:r>
      <w:r/>
    </w:p>
    <w:p w14:paraId="58FB3804">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Maintain accurate operational and maintenance records, reports, and logs.</w:t>
      </w:r>
      <w:r/>
    </w:p>
    <w:p w14:paraId="2F086252">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Support the development and implementation of preventive maintenance programs.</w:t>
      </w:r>
      <w:r/>
    </w:p>
    <w:p w14:paraId="03B9B4E8">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Assist in budget preparation, inventory management, and procurement of materials and equipment.</w:t>
      </w:r>
      <w:r/>
    </w:p>
    <w:p w14:paraId="72EFDEBC">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Coordinate with contractors, engineers, and other agencies on projects and system improvements.</w:t>
      </w:r>
      <w:r/>
    </w:p>
    <w:p w14:paraId="15291AC8">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Provide on-call support during emergencies, outages, or severe weather events.</w:t>
      </w:r>
      <w:r/>
    </w:p>
    <w:p w14:paraId="76D7A622">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4DAAE25C">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Qualifications:</w:t>
      </w:r>
      <w:r/>
    </w:p>
    <w:p w14:paraId="6CFF4FAF">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Associate or Bachelor’s degree in Environmental Science, Civil Engineering, Public Works Management, or related field preferred.</w:t>
      </w:r>
      <w:r/>
    </w:p>
    <w:p w14:paraId="5A510B0B">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Minimum 3–5 years of experience in water and sewer utility operations, with supervisory experience preferred.</w:t>
      </w:r>
      <w:r/>
    </w:p>
    <w:p w14:paraId="5F7ED16C">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Knowledge of water distribution, wastewater collection, and related safety and regulatory standards.</w:t>
      </w:r>
      <w:r/>
    </w:p>
    <w:p w14:paraId="552F76A0">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Valid state driver’s license; water/wastewater operator certification strongly preferred.</w:t>
      </w:r>
      <w:r/>
    </w:p>
    <w:p w14:paraId="7D7C4DEE">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Strong organizational, communication, and leadership skills.</w:t>
      </w:r>
      <w:r/>
    </w:p>
    <w:p w14:paraId="64A9B199">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22D59E76">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Work Environment and Physical Requirements:</w:t>
      </w:r>
      <w:r/>
    </w:p>
    <w:p w14:paraId="68FFB95D">
      <w:pPr>
        <w:pStyle w:val="668"/>
        <w:numPr>
          <w:ilvl w:val="0"/>
          <w:numId w:val="3"/>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Work is performed in both office and field settings and may involve exposure to adverse weather and hazardous conditions.</w:t>
      </w:r>
      <w:r/>
    </w:p>
    <w:p w14:paraId="6C678FCA">
      <w:pPr>
        <w:pStyle w:val="668"/>
        <w:numPr>
          <w:ilvl w:val="0"/>
          <w:numId w:val="3"/>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Ability to lift up to 50 lbs and perform physical tasks related to inspections and maintenance.</w:t>
      </w:r>
      <w:r/>
    </w:p>
    <w:p w14:paraId="7485B8F2">
      <w:pPr>
        <w:pStyle w:val="668"/>
        <w:numPr>
          <w:ilvl w:val="0"/>
          <w:numId w:val="3"/>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Occasional evening, weekend, and on-call work required.</w:t>
      </w:r>
      <w:r/>
    </w:p>
    <w:p w14:paraId="50A11290">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378E5A3D">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b w:val="0"/>
          <w:bCs w:val="0"/>
          <w:sz w:val="23"/>
          <w:szCs w:val="23"/>
        </w:rPr>
      </w:pPr>
      <w:r>
        <w:rPr>
          <w:rFonts w:ascii="Arial" w:hAnsi="Arial" w:eastAsia="Arial" w:cs="Arial"/>
          <w:b/>
          <w:bCs/>
          <w:color w:val="242424"/>
          <w:sz w:val="23"/>
          <w:highlight w:val="none"/>
        </w:rPr>
        <w:t xml:space="preserve">Compensation: </w:t>
      </w:r>
      <w:r>
        <w:rPr>
          <w:rFonts w:ascii="Arial" w:hAnsi="Arial" w:eastAsia="Arial" w:cs="Arial"/>
          <w:b w:val="0"/>
          <w:bCs w:val="0"/>
          <w:color w:val="242424"/>
          <w:sz w:val="23"/>
          <w:highlight w:val="none"/>
        </w:rPr>
        <w:t xml:space="preserve">Annual $95,000.00+ </w:t>
      </w:r>
      <w:r>
        <w:rPr>
          <w:rFonts w:ascii="Arial" w:hAnsi="Arial" w:eastAsia="Arial" w:cs="Arial"/>
          <w:color w:val="242424"/>
          <w:sz w:val="23"/>
          <w:highlight w:val="none"/>
        </w:rPr>
        <w:t xml:space="preserve">depending on experience</w:t>
      </w:r>
      <w:r>
        <w:rPr>
          <w:rFonts w:ascii="Arial" w:hAnsi="Arial" w:eastAsia="Arial" w:cs="Arial"/>
          <w:b w:val="0"/>
          <w:bCs w:val="0"/>
          <w:sz w:val="23"/>
          <w:szCs w:val="23"/>
        </w:rPr>
      </w:r>
      <w:r>
        <w:rPr>
          <w:rFonts w:ascii="Arial" w:hAnsi="Arial" w:eastAsia="Arial" w:cs="Arial"/>
          <w:b w:val="0"/>
          <w:bCs w:val="0"/>
          <w:sz w:val="23"/>
          <w:szCs w:val="23"/>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D705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3346B52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1D1675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2026-03-02T18:46:21Z</dcterms:modified>
</cp:coreProperties>
</file>